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D0" w:rsidRDefault="00BE397E">
      <w:pPr>
        <w:pStyle w:val="Titolo"/>
      </w:pPr>
      <w:r>
        <w:t>Allegato B Griglia di valutazione della prova orale</w:t>
      </w:r>
    </w:p>
    <w:p w:rsidR="008120D0" w:rsidRDefault="00BE397E">
      <w:pPr>
        <w:pStyle w:val="Corpodeltesto"/>
        <w:spacing w:line="232" w:lineRule="auto"/>
      </w:pPr>
      <w:r>
        <w:t>La</w:t>
      </w:r>
      <w:r>
        <w:rPr>
          <w:spacing w:val="-12"/>
        </w:rPr>
        <w:t xml:space="preserve"> </w:t>
      </w:r>
      <w:r>
        <w:t>Commissione</w:t>
      </w:r>
      <w:r>
        <w:rPr>
          <w:spacing w:val="-12"/>
        </w:rPr>
        <w:t xml:space="preserve"> </w:t>
      </w:r>
      <w:r>
        <w:t>assegna</w:t>
      </w:r>
      <w:r>
        <w:rPr>
          <w:spacing w:val="-14"/>
        </w:rPr>
        <w:t xml:space="preserve"> </w:t>
      </w:r>
      <w:r>
        <w:t>fino</w:t>
      </w:r>
      <w:r>
        <w:rPr>
          <w:spacing w:val="-13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massimo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quaranta</w:t>
      </w:r>
      <w:r>
        <w:rPr>
          <w:spacing w:val="-13"/>
        </w:rPr>
        <w:t xml:space="preserve"> </w:t>
      </w:r>
      <w:r>
        <w:t>punti,</w:t>
      </w:r>
      <w:r>
        <w:rPr>
          <w:spacing w:val="-12"/>
        </w:rPr>
        <w:t xml:space="preserve"> </w:t>
      </w:r>
      <w:r>
        <w:t>tenendo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riferimento</w:t>
      </w:r>
      <w:r>
        <w:rPr>
          <w:spacing w:val="-13"/>
        </w:rPr>
        <w:t xml:space="preserve"> </w:t>
      </w:r>
      <w:r>
        <w:t>indicatori,</w:t>
      </w:r>
      <w:r>
        <w:rPr>
          <w:spacing w:val="-12"/>
        </w:rPr>
        <w:t xml:space="preserve"> </w:t>
      </w:r>
      <w:r>
        <w:t>livelli,</w:t>
      </w:r>
      <w:r>
        <w:rPr>
          <w:spacing w:val="-7"/>
        </w:rPr>
        <w:t xml:space="preserve"> </w:t>
      </w:r>
      <w:r>
        <w:t>descrittori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punteggi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seguito indicati.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37"/>
        <w:gridCol w:w="497"/>
        <w:gridCol w:w="10528"/>
        <w:gridCol w:w="569"/>
        <w:gridCol w:w="994"/>
      </w:tblGrid>
      <w:tr w:rsidR="008120D0">
        <w:trPr>
          <w:trHeight w:val="354"/>
        </w:trPr>
        <w:tc>
          <w:tcPr>
            <w:tcW w:w="1937" w:type="dxa"/>
            <w:shd w:val="clear" w:color="auto" w:fill="EDEBE0"/>
          </w:tcPr>
          <w:p w:rsidR="008120D0" w:rsidRDefault="00BE397E">
            <w:pPr>
              <w:pStyle w:val="TableParagraph"/>
              <w:spacing w:before="61" w:line="273" w:lineRule="exact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</w:p>
        </w:tc>
        <w:tc>
          <w:tcPr>
            <w:tcW w:w="497" w:type="dxa"/>
            <w:shd w:val="clear" w:color="auto" w:fill="EDEBE0"/>
          </w:tcPr>
          <w:p w:rsidR="008120D0" w:rsidRDefault="00BE397E">
            <w:pPr>
              <w:pStyle w:val="TableParagraph"/>
              <w:spacing w:before="131" w:line="203" w:lineRule="exact"/>
              <w:ind w:right="-15"/>
              <w:rPr>
                <w:b/>
                <w:sz w:val="18"/>
              </w:rPr>
            </w:pPr>
            <w:r>
              <w:rPr>
                <w:b/>
                <w:spacing w:val="-1"/>
                <w:w w:val="95"/>
                <w:sz w:val="18"/>
              </w:rPr>
              <w:t>Livelli</w:t>
            </w:r>
          </w:p>
        </w:tc>
        <w:tc>
          <w:tcPr>
            <w:tcW w:w="10528" w:type="dxa"/>
            <w:shd w:val="clear" w:color="auto" w:fill="EDEBE0"/>
          </w:tcPr>
          <w:p w:rsidR="008120D0" w:rsidRDefault="00BE397E">
            <w:pPr>
              <w:pStyle w:val="TableParagraph"/>
              <w:spacing w:before="61" w:line="273" w:lineRule="exact"/>
              <w:ind w:left="4690" w:right="4671"/>
              <w:rPr>
                <w:b/>
                <w:sz w:val="24"/>
              </w:rPr>
            </w:pPr>
            <w:r>
              <w:rPr>
                <w:b/>
                <w:sz w:val="24"/>
              </w:rPr>
              <w:t>Descrittori</w:t>
            </w:r>
          </w:p>
        </w:tc>
        <w:tc>
          <w:tcPr>
            <w:tcW w:w="569" w:type="dxa"/>
            <w:shd w:val="clear" w:color="auto" w:fill="EDEBE0"/>
          </w:tcPr>
          <w:p w:rsidR="008120D0" w:rsidRDefault="00BE397E">
            <w:pPr>
              <w:pStyle w:val="TableParagraph"/>
              <w:spacing w:before="131" w:line="203" w:lineRule="exact"/>
              <w:ind w:left="50" w:right="38"/>
              <w:rPr>
                <w:b/>
                <w:sz w:val="18"/>
              </w:rPr>
            </w:pPr>
            <w:r>
              <w:rPr>
                <w:b/>
                <w:sz w:val="18"/>
              </w:rPr>
              <w:t>Punti</w:t>
            </w:r>
          </w:p>
        </w:tc>
        <w:tc>
          <w:tcPr>
            <w:tcW w:w="994" w:type="dxa"/>
            <w:shd w:val="clear" w:color="auto" w:fill="EDEBE0"/>
          </w:tcPr>
          <w:p w:rsidR="008120D0" w:rsidRDefault="00BE397E">
            <w:pPr>
              <w:pStyle w:val="TableParagraph"/>
              <w:spacing w:before="131" w:line="203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Punteggio</w:t>
            </w:r>
          </w:p>
        </w:tc>
      </w:tr>
      <w:tr w:rsidR="008120D0">
        <w:trPr>
          <w:trHeight w:val="241"/>
        </w:trPr>
        <w:tc>
          <w:tcPr>
            <w:tcW w:w="1937" w:type="dxa"/>
            <w:vMerge w:val="restart"/>
          </w:tcPr>
          <w:p w:rsidR="008120D0" w:rsidRDefault="00BE397E">
            <w:pPr>
              <w:pStyle w:val="TableParagraph"/>
              <w:spacing w:before="76" w:line="268" w:lineRule="auto"/>
              <w:ind w:left="9" w:right="-21"/>
              <w:jc w:val="left"/>
              <w:rPr>
                <w:sz w:val="18"/>
              </w:rPr>
            </w:pPr>
            <w:r>
              <w:rPr>
                <w:sz w:val="18"/>
              </w:rPr>
              <w:t>Acquisizione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 xml:space="preserve">contenuti e dei metodi delle diverse </w:t>
            </w:r>
            <w:r>
              <w:rPr>
                <w:w w:val="95"/>
                <w:sz w:val="18"/>
              </w:rPr>
              <w:t xml:space="preserve">discipline del curricolo, con </w:t>
            </w:r>
            <w:r>
              <w:rPr>
                <w:sz w:val="18"/>
              </w:rPr>
              <w:t>particolare riferimento a quelle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d’indirizzo</w:t>
            </w: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21" w:line="200" w:lineRule="exact"/>
              <w:ind w:left="23"/>
              <w:rPr>
                <w:sz w:val="18"/>
              </w:rPr>
            </w:pPr>
            <w:r>
              <w:rPr>
                <w:w w:val="106"/>
                <w:sz w:val="18"/>
              </w:rPr>
              <w:t>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21" w:line="200" w:lineRule="exact"/>
              <w:jc w:val="left"/>
              <w:rPr>
                <w:sz w:val="18"/>
              </w:rPr>
            </w:pPr>
            <w:r>
              <w:rPr>
                <w:sz w:val="18"/>
              </w:rPr>
              <w:t>Non ha acquisito i contenuti e i metodi delle diverse discipline, o li ha acquisiti in modo estremamente frammentario e lacun</w:t>
            </w:r>
            <w:r>
              <w:rPr>
                <w:sz w:val="18"/>
              </w:rPr>
              <w:t>oso.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21" w:line="200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1-2</w:t>
            </w:r>
          </w:p>
        </w:tc>
        <w:tc>
          <w:tcPr>
            <w:tcW w:w="994" w:type="dxa"/>
            <w:vMerge w:val="restart"/>
          </w:tcPr>
          <w:p w:rsidR="008120D0" w:rsidRDefault="008120D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8120D0">
        <w:trPr>
          <w:trHeight w:val="289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66" w:line="203" w:lineRule="exact"/>
              <w:ind w:left="136" w:right="110"/>
              <w:rPr>
                <w:sz w:val="18"/>
              </w:rPr>
            </w:pPr>
            <w:r>
              <w:rPr>
                <w:w w:val="105"/>
                <w:sz w:val="18"/>
              </w:rPr>
              <w:t>II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66" w:line="203" w:lineRule="exact"/>
              <w:jc w:val="left"/>
              <w:rPr>
                <w:sz w:val="18"/>
              </w:rPr>
            </w:pPr>
            <w:r>
              <w:rPr>
                <w:sz w:val="18"/>
              </w:rPr>
              <w:t>Ha acquisito i contenuti e i metodi delle diverse discipline in modo parziale e incompleto, utilizzandoli in modo non sempre appropriato.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66" w:line="203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3-5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53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33" w:line="200" w:lineRule="exact"/>
              <w:ind w:left="134" w:right="110"/>
              <w:rPr>
                <w:sz w:val="18"/>
              </w:rPr>
            </w:pPr>
            <w:r>
              <w:rPr>
                <w:w w:val="105"/>
                <w:sz w:val="18"/>
              </w:rPr>
              <w:t>III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33" w:line="200" w:lineRule="exact"/>
              <w:jc w:val="left"/>
              <w:rPr>
                <w:sz w:val="18"/>
              </w:rPr>
            </w:pPr>
            <w:r>
              <w:rPr>
                <w:sz w:val="18"/>
              </w:rPr>
              <w:t>Ha acquisito i contenuti e utilizza i metodi delle diverse discipline in modo corretto e appropriato.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33" w:line="200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6-7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07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line="188" w:lineRule="exact"/>
              <w:ind w:left="136" w:right="109"/>
              <w:rPr>
                <w:sz w:val="18"/>
              </w:rPr>
            </w:pPr>
            <w:r>
              <w:rPr>
                <w:sz w:val="18"/>
              </w:rPr>
              <w:t>IV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Ha acquisito i contenuti delle diverse discipline in maniera completa e utilizza in modo consapevole i loro metodi.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188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8-9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05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line="186" w:lineRule="exact"/>
              <w:ind w:left="23"/>
              <w:rPr>
                <w:sz w:val="18"/>
              </w:rPr>
            </w:pPr>
            <w:r>
              <w:rPr>
                <w:w w:val="93"/>
                <w:sz w:val="18"/>
              </w:rPr>
              <w:t>V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Ha acquisito i contenuti delle diverse discipline in maniera completa e approfondita e utilizza con piena padronanza i loro metodi.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186" w:lineRule="exact"/>
              <w:ind w:left="50" w:right="3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70"/>
        </w:trPr>
        <w:tc>
          <w:tcPr>
            <w:tcW w:w="1937" w:type="dxa"/>
            <w:vMerge w:val="restart"/>
          </w:tcPr>
          <w:p w:rsidR="008120D0" w:rsidRDefault="00BE397E">
            <w:pPr>
              <w:pStyle w:val="TableParagraph"/>
              <w:spacing w:before="19" w:line="268" w:lineRule="auto"/>
              <w:ind w:left="9" w:right="63"/>
              <w:jc w:val="left"/>
              <w:rPr>
                <w:sz w:val="18"/>
              </w:rPr>
            </w:pPr>
            <w:r>
              <w:rPr>
                <w:sz w:val="18"/>
              </w:rPr>
              <w:t>Capacità di utilizzare le conoscenze acquisite e di collegarle tra loro</w:t>
            </w: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35"/>
              <w:ind w:left="21"/>
              <w:rPr>
                <w:sz w:val="16"/>
              </w:rPr>
            </w:pPr>
            <w:r>
              <w:rPr>
                <w:w w:val="106"/>
                <w:sz w:val="16"/>
              </w:rPr>
              <w:t>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21"/>
              <w:jc w:val="left"/>
              <w:rPr>
                <w:sz w:val="18"/>
              </w:rPr>
            </w:pPr>
            <w:r>
              <w:rPr>
                <w:sz w:val="18"/>
              </w:rPr>
              <w:t>Non è in grado di utilizzare e collegare le conoscenze acquisite o lo fa in modo del tutto inadeguato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36"/>
              <w:ind w:left="50" w:right="36"/>
              <w:rPr>
                <w:sz w:val="18"/>
              </w:rPr>
            </w:pPr>
            <w:r>
              <w:rPr>
                <w:sz w:val="18"/>
              </w:rPr>
              <w:t>1-2</w:t>
            </w:r>
          </w:p>
        </w:tc>
        <w:tc>
          <w:tcPr>
            <w:tcW w:w="994" w:type="dxa"/>
            <w:vMerge w:val="restart"/>
          </w:tcPr>
          <w:p w:rsidR="008120D0" w:rsidRDefault="008120D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8120D0">
        <w:trPr>
          <w:trHeight w:val="280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40"/>
              <w:ind w:left="136" w:right="110"/>
              <w:rPr>
                <w:sz w:val="16"/>
              </w:rPr>
            </w:pPr>
            <w:r>
              <w:rPr>
                <w:w w:val="105"/>
                <w:sz w:val="16"/>
              </w:rPr>
              <w:t>II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26"/>
              <w:jc w:val="left"/>
              <w:rPr>
                <w:sz w:val="18"/>
              </w:rPr>
            </w:pPr>
            <w:r>
              <w:rPr>
                <w:sz w:val="18"/>
              </w:rPr>
              <w:t>È in grado di utilizzare e collegare le conoscenze acquisite con difficoltà e in modo stentato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62" w:line="198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3-5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46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23"/>
              <w:ind w:left="136" w:right="110"/>
              <w:rPr>
                <w:sz w:val="16"/>
              </w:rPr>
            </w:pPr>
            <w:r>
              <w:rPr>
                <w:w w:val="105"/>
                <w:sz w:val="16"/>
              </w:rPr>
              <w:t>III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9"/>
              <w:jc w:val="left"/>
              <w:rPr>
                <w:sz w:val="18"/>
              </w:rPr>
            </w:pPr>
            <w:r>
              <w:rPr>
                <w:sz w:val="18"/>
              </w:rPr>
              <w:t>È in grado di utilizzare correttamente le conoscenze acquisite, istituendo adeguati collegamenti tra le discipline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30" w:line="196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6-7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24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13"/>
              <w:ind w:left="135" w:right="110"/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205" w:lineRule="exact"/>
              <w:jc w:val="left"/>
              <w:rPr>
                <w:sz w:val="18"/>
              </w:rPr>
            </w:pPr>
            <w:r>
              <w:rPr>
                <w:sz w:val="18"/>
              </w:rPr>
              <w:t>È in grado di utilizzare le conoscenze acquisite collegandole in una trattazione pluridisciplinare articolata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205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8-9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08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4"/>
              <w:ind w:left="25"/>
              <w:rPr>
                <w:sz w:val="16"/>
              </w:rPr>
            </w:pPr>
            <w:r>
              <w:rPr>
                <w:w w:val="94"/>
                <w:sz w:val="16"/>
              </w:rPr>
              <w:t>V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È in grado di utilizzare le conoscenze acquisite collegandole in una trattazione pluridisciplinare ampia e approfondita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188" w:lineRule="exact"/>
              <w:ind w:left="50" w:right="3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34"/>
        </w:trPr>
        <w:tc>
          <w:tcPr>
            <w:tcW w:w="1937" w:type="dxa"/>
            <w:vMerge w:val="restart"/>
          </w:tcPr>
          <w:p w:rsidR="008120D0" w:rsidRDefault="00BE397E">
            <w:pPr>
              <w:pStyle w:val="TableParagraph"/>
              <w:spacing w:before="18" w:line="268" w:lineRule="auto"/>
              <w:ind w:left="9" w:right="8"/>
              <w:jc w:val="left"/>
              <w:rPr>
                <w:sz w:val="18"/>
              </w:rPr>
            </w:pPr>
            <w:r>
              <w:rPr>
                <w:sz w:val="18"/>
              </w:rPr>
              <w:t>Capacità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z w:val="18"/>
              </w:rPr>
              <w:t>argomentare</w:t>
            </w:r>
            <w:r>
              <w:rPr>
                <w:spacing w:val="-25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w w:val="95"/>
                <w:sz w:val="18"/>
              </w:rPr>
              <w:t xml:space="preserve">maniera critica e personale, </w:t>
            </w:r>
            <w:r>
              <w:rPr>
                <w:sz w:val="18"/>
              </w:rPr>
              <w:t>rielaborando i contenuti acquisiti</w:t>
            </w: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w w:val="106"/>
                <w:sz w:val="16"/>
              </w:rPr>
              <w:t>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4"/>
              <w:jc w:val="left"/>
              <w:rPr>
                <w:sz w:val="18"/>
              </w:rPr>
            </w:pPr>
            <w:r>
              <w:rPr>
                <w:sz w:val="18"/>
              </w:rPr>
              <w:t>Non è in grado di argomentare in maniera critica e personale, o argomenta in modo superficiale e disorganico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18" w:line="196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1-2</w:t>
            </w:r>
          </w:p>
        </w:tc>
        <w:tc>
          <w:tcPr>
            <w:tcW w:w="994" w:type="dxa"/>
            <w:vMerge w:val="restart"/>
          </w:tcPr>
          <w:p w:rsidR="008120D0" w:rsidRDefault="008120D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8120D0">
        <w:trPr>
          <w:trHeight w:val="280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40"/>
              <w:ind w:left="136" w:right="110"/>
              <w:rPr>
                <w:sz w:val="16"/>
              </w:rPr>
            </w:pPr>
            <w:r>
              <w:rPr>
                <w:w w:val="105"/>
                <w:sz w:val="16"/>
              </w:rPr>
              <w:t>II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26"/>
              <w:jc w:val="left"/>
              <w:rPr>
                <w:sz w:val="18"/>
              </w:rPr>
            </w:pPr>
            <w:r>
              <w:rPr>
                <w:sz w:val="18"/>
              </w:rPr>
              <w:t>È in grado di formulare argomentazioni critiche e personali solo a tratti e solo in relazione a specifici argomenti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62" w:line="198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3-5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46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23"/>
              <w:ind w:left="136" w:right="110"/>
              <w:rPr>
                <w:sz w:val="16"/>
              </w:rPr>
            </w:pPr>
            <w:r>
              <w:rPr>
                <w:w w:val="105"/>
                <w:sz w:val="16"/>
              </w:rPr>
              <w:t>III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9"/>
              <w:jc w:val="left"/>
              <w:rPr>
                <w:sz w:val="18"/>
              </w:rPr>
            </w:pPr>
            <w:r>
              <w:rPr>
                <w:sz w:val="18"/>
              </w:rPr>
              <w:t>È in grado di formulare semplici argomentazioni critiche e personali, con una corretta rielaborazione dei contenuti acquisiti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30" w:line="196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6-7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05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4" w:line="182" w:lineRule="exact"/>
              <w:ind w:left="135" w:right="110"/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È in grado di formulare articolate argomentazioni critiche e personali, rielaborando efficacemente i contenuti acquisiti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186" w:lineRule="exact"/>
              <w:ind w:left="50" w:right="36"/>
              <w:rPr>
                <w:sz w:val="18"/>
              </w:rPr>
            </w:pPr>
            <w:r>
              <w:rPr>
                <w:sz w:val="18"/>
              </w:rPr>
              <w:t>8-9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08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4"/>
              <w:ind w:left="25"/>
              <w:rPr>
                <w:sz w:val="16"/>
              </w:rPr>
            </w:pPr>
            <w:r>
              <w:rPr>
                <w:w w:val="94"/>
                <w:sz w:val="16"/>
              </w:rPr>
              <w:t>V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È in grado di formulare ampie e articolate argomentazioni critiche e personali , rielaborando con originalità i contenuti acquisiti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188" w:lineRule="exact"/>
              <w:ind w:left="50" w:right="3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05"/>
        </w:trPr>
        <w:tc>
          <w:tcPr>
            <w:tcW w:w="1937" w:type="dxa"/>
            <w:vMerge w:val="restart"/>
          </w:tcPr>
          <w:p w:rsidR="008120D0" w:rsidRDefault="00BE397E">
            <w:pPr>
              <w:pStyle w:val="TableParagraph"/>
              <w:spacing w:before="18" w:line="268" w:lineRule="auto"/>
              <w:ind w:left="9"/>
              <w:jc w:val="left"/>
              <w:rPr>
                <w:sz w:val="18"/>
              </w:rPr>
            </w:pPr>
            <w:r>
              <w:rPr>
                <w:sz w:val="18"/>
              </w:rPr>
              <w:t xml:space="preserve">Ricchezza e padronanza </w:t>
            </w:r>
            <w:r>
              <w:rPr>
                <w:w w:val="95"/>
                <w:sz w:val="18"/>
              </w:rPr>
              <w:t xml:space="preserve">lessicale e semantica, con </w:t>
            </w:r>
            <w:r>
              <w:rPr>
                <w:sz w:val="18"/>
              </w:rPr>
              <w:t>specifico riferimento al linguaggio tecnico e/o di settore, anche in lingua</w:t>
            </w:r>
          </w:p>
          <w:p w:rsidR="008120D0" w:rsidRDefault="00BE397E">
            <w:pPr>
              <w:pStyle w:val="TableParagraph"/>
              <w:spacing w:before="1" w:line="198" w:lineRule="exact"/>
              <w:ind w:left="9"/>
              <w:jc w:val="left"/>
              <w:rPr>
                <w:sz w:val="18"/>
              </w:rPr>
            </w:pPr>
            <w:r>
              <w:rPr>
                <w:sz w:val="18"/>
              </w:rPr>
              <w:t>straniera</w:t>
            </w: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1"/>
              <w:ind w:left="21"/>
              <w:rPr>
                <w:sz w:val="16"/>
              </w:rPr>
            </w:pPr>
            <w:r>
              <w:rPr>
                <w:w w:val="106"/>
                <w:sz w:val="16"/>
              </w:rPr>
              <w:t>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Si esprime in modo scorretto o stentato, utilizzando un lessico inadeguato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93"/>
                <w:sz w:val="18"/>
              </w:rPr>
              <w:t>1</w:t>
            </w:r>
          </w:p>
        </w:tc>
        <w:tc>
          <w:tcPr>
            <w:tcW w:w="994" w:type="dxa"/>
            <w:vMerge w:val="restart"/>
          </w:tcPr>
          <w:p w:rsidR="008120D0" w:rsidRDefault="008120D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8120D0">
        <w:trPr>
          <w:trHeight w:val="296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49"/>
              <w:ind w:left="136" w:right="110"/>
              <w:rPr>
                <w:sz w:val="16"/>
              </w:rPr>
            </w:pPr>
            <w:r>
              <w:rPr>
                <w:w w:val="105"/>
                <w:sz w:val="16"/>
              </w:rPr>
              <w:t>II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35"/>
              <w:jc w:val="left"/>
              <w:rPr>
                <w:sz w:val="18"/>
              </w:rPr>
            </w:pPr>
            <w:r>
              <w:rPr>
                <w:sz w:val="18"/>
              </w:rPr>
              <w:t>Si esprime in modo non sempre corretto, utilizzando un lessico, anche di settore, parzialmente adeguato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35"/>
              <w:ind w:left="14"/>
              <w:rPr>
                <w:sz w:val="18"/>
              </w:rPr>
            </w:pPr>
            <w:r>
              <w:rPr>
                <w:w w:val="93"/>
                <w:sz w:val="18"/>
              </w:rPr>
              <w:t>2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58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30"/>
              <w:ind w:left="136" w:right="110"/>
              <w:rPr>
                <w:sz w:val="16"/>
              </w:rPr>
            </w:pPr>
            <w:r>
              <w:rPr>
                <w:w w:val="105"/>
                <w:sz w:val="16"/>
              </w:rPr>
              <w:t>III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16"/>
              <w:jc w:val="left"/>
              <w:rPr>
                <w:sz w:val="18"/>
              </w:rPr>
            </w:pPr>
            <w:r>
              <w:rPr>
                <w:sz w:val="18"/>
              </w:rPr>
              <w:t>Si esprime in modo corretto utilizzando un lessico adeguato, anche in riferimento al linguaggio tecnico e/o di settore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16"/>
              <w:ind w:left="14"/>
              <w:rPr>
                <w:sz w:val="18"/>
              </w:rPr>
            </w:pPr>
            <w:r>
              <w:rPr>
                <w:w w:val="93"/>
                <w:sz w:val="18"/>
              </w:rPr>
              <w:t>3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05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4" w:line="182" w:lineRule="exact"/>
              <w:ind w:left="135" w:right="110"/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Si esprime in modo preciso e accurato utilizzando un lessico, anche tecnico e settoriale, vario e articolato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93"/>
                <w:sz w:val="18"/>
              </w:rPr>
              <w:t>4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349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76"/>
              <w:ind w:left="25"/>
              <w:rPr>
                <w:sz w:val="16"/>
              </w:rPr>
            </w:pPr>
            <w:r>
              <w:rPr>
                <w:w w:val="94"/>
                <w:sz w:val="16"/>
              </w:rPr>
              <w:t>V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62"/>
              <w:jc w:val="left"/>
              <w:rPr>
                <w:sz w:val="18"/>
              </w:rPr>
            </w:pPr>
            <w:r>
              <w:rPr>
                <w:sz w:val="18"/>
              </w:rPr>
              <w:t>Si esprime con ricchezza e piena padronanza lessicale e semantica, anche in riferimento al linguaggio tecnico e/o di settore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62"/>
              <w:ind w:left="14"/>
              <w:rPr>
                <w:sz w:val="18"/>
              </w:rPr>
            </w:pPr>
            <w:r>
              <w:rPr>
                <w:w w:val="93"/>
                <w:sz w:val="18"/>
              </w:rPr>
              <w:t>5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05"/>
        </w:trPr>
        <w:tc>
          <w:tcPr>
            <w:tcW w:w="1937" w:type="dxa"/>
            <w:vMerge w:val="restart"/>
          </w:tcPr>
          <w:p w:rsidR="008120D0" w:rsidRDefault="00BE397E">
            <w:pPr>
              <w:pStyle w:val="TableParagraph"/>
              <w:spacing w:before="18" w:line="268" w:lineRule="auto"/>
              <w:ind w:left="9"/>
              <w:jc w:val="left"/>
              <w:rPr>
                <w:sz w:val="18"/>
              </w:rPr>
            </w:pPr>
            <w:r>
              <w:rPr>
                <w:sz w:val="18"/>
              </w:rPr>
              <w:t xml:space="preserve">Capacità di analisi e comprensione della realtà in chiave di cittadinanza attiva a partire dalla </w:t>
            </w:r>
            <w:r>
              <w:rPr>
                <w:w w:val="95"/>
                <w:sz w:val="18"/>
              </w:rPr>
              <w:t>riflessione sulle esperienze</w:t>
            </w:r>
          </w:p>
          <w:p w:rsidR="008120D0" w:rsidRDefault="00BE397E">
            <w:pPr>
              <w:pStyle w:val="TableParagraph"/>
              <w:spacing w:before="1" w:line="198" w:lineRule="exact"/>
              <w:ind w:left="9"/>
              <w:jc w:val="left"/>
              <w:rPr>
                <w:sz w:val="18"/>
              </w:rPr>
            </w:pPr>
            <w:r>
              <w:rPr>
                <w:sz w:val="18"/>
              </w:rPr>
              <w:t>personali</w:t>
            </w: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1"/>
              <w:ind w:left="21"/>
              <w:rPr>
                <w:sz w:val="16"/>
              </w:rPr>
            </w:pPr>
            <w:r>
              <w:rPr>
                <w:w w:val="106"/>
                <w:sz w:val="16"/>
              </w:rPr>
              <w:t>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186" w:lineRule="exact"/>
              <w:jc w:val="left"/>
              <w:rPr>
                <w:sz w:val="18"/>
              </w:rPr>
            </w:pPr>
            <w:r>
              <w:rPr>
                <w:sz w:val="18"/>
              </w:rPr>
              <w:t>Non è in grado di analizzare e comprendere la realtà a partire dalla riflessione sulle proprie esperienze, o lo fa in modo inadeguato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186" w:lineRule="exact"/>
              <w:ind w:left="14"/>
              <w:rPr>
                <w:sz w:val="18"/>
              </w:rPr>
            </w:pPr>
            <w:r>
              <w:rPr>
                <w:w w:val="93"/>
                <w:sz w:val="18"/>
              </w:rPr>
              <w:t>1</w:t>
            </w:r>
          </w:p>
        </w:tc>
        <w:tc>
          <w:tcPr>
            <w:tcW w:w="994" w:type="dxa"/>
            <w:vMerge w:val="restart"/>
          </w:tcPr>
          <w:p w:rsidR="008120D0" w:rsidRDefault="008120D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  <w:tr w:rsidR="008120D0">
        <w:trPr>
          <w:trHeight w:val="207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4"/>
              <w:ind w:left="136" w:right="110"/>
              <w:rPr>
                <w:sz w:val="16"/>
              </w:rPr>
            </w:pPr>
            <w:r>
              <w:rPr>
                <w:w w:val="105"/>
                <w:sz w:val="16"/>
              </w:rPr>
              <w:t>II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188" w:lineRule="exact"/>
              <w:jc w:val="left"/>
              <w:rPr>
                <w:sz w:val="18"/>
              </w:rPr>
            </w:pPr>
            <w:r>
              <w:rPr>
                <w:sz w:val="18"/>
              </w:rPr>
              <w:t>È in grado di analizzare e comprendere la realtà a partire dalla riflessione sulle proprie esperienze con difficoltà e solo se guidato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188" w:lineRule="exact"/>
              <w:ind w:left="14"/>
              <w:rPr>
                <w:sz w:val="18"/>
              </w:rPr>
            </w:pPr>
            <w:r>
              <w:rPr>
                <w:w w:val="93"/>
                <w:sz w:val="18"/>
              </w:rPr>
              <w:t>2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320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128" w:line="172" w:lineRule="exact"/>
              <w:ind w:left="136" w:right="110"/>
              <w:rPr>
                <w:sz w:val="16"/>
              </w:rPr>
            </w:pPr>
            <w:r>
              <w:rPr>
                <w:w w:val="105"/>
                <w:sz w:val="16"/>
              </w:rPr>
              <w:t>III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105" w:line="196" w:lineRule="exact"/>
              <w:jc w:val="left"/>
              <w:rPr>
                <w:sz w:val="18"/>
              </w:rPr>
            </w:pPr>
            <w:r>
              <w:rPr>
                <w:sz w:val="18"/>
              </w:rPr>
              <w:t>È in grado di compiere un’analisi adeguata della realtà sulla base di una corretta riflessione sulle proprie esperienze personali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47"/>
              <w:ind w:left="14"/>
              <w:rPr>
                <w:sz w:val="18"/>
              </w:rPr>
            </w:pPr>
            <w:r>
              <w:rPr>
                <w:w w:val="93"/>
                <w:sz w:val="18"/>
              </w:rPr>
              <w:t>3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210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13" w:line="177" w:lineRule="exact"/>
              <w:ind w:left="135" w:right="110"/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line="190" w:lineRule="exact"/>
              <w:jc w:val="left"/>
              <w:rPr>
                <w:sz w:val="18"/>
              </w:rPr>
            </w:pPr>
            <w:r>
              <w:rPr>
                <w:sz w:val="18"/>
              </w:rPr>
              <w:t>È in grado di compiere un’analisi precisa della realtà sulla base di una attenta riflessione sulle proprie esperienze personali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line="190" w:lineRule="exact"/>
              <w:ind w:left="14"/>
              <w:rPr>
                <w:sz w:val="18"/>
              </w:rPr>
            </w:pPr>
            <w:r>
              <w:rPr>
                <w:w w:val="93"/>
                <w:sz w:val="18"/>
              </w:rPr>
              <w:t>4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371"/>
        </w:trPr>
        <w:tc>
          <w:tcPr>
            <w:tcW w:w="1937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8120D0" w:rsidRDefault="00BE397E">
            <w:pPr>
              <w:pStyle w:val="TableParagraph"/>
              <w:spacing w:before="93"/>
              <w:ind w:left="25"/>
              <w:rPr>
                <w:sz w:val="16"/>
              </w:rPr>
            </w:pPr>
            <w:r>
              <w:rPr>
                <w:w w:val="94"/>
                <w:sz w:val="16"/>
              </w:rPr>
              <w:t>V</w:t>
            </w:r>
          </w:p>
        </w:tc>
        <w:tc>
          <w:tcPr>
            <w:tcW w:w="10528" w:type="dxa"/>
          </w:tcPr>
          <w:p w:rsidR="008120D0" w:rsidRDefault="00BE397E">
            <w:pPr>
              <w:pStyle w:val="TableParagraph"/>
              <w:spacing w:before="72"/>
              <w:jc w:val="left"/>
              <w:rPr>
                <w:sz w:val="18"/>
              </w:rPr>
            </w:pPr>
            <w:r>
              <w:rPr>
                <w:sz w:val="18"/>
              </w:rPr>
              <w:t>È in grado di compiere un’analisi approfondita della realtà sulla base di una riflessione critica e consapevole sulle proprie esperienze personali</w:t>
            </w:r>
          </w:p>
        </w:tc>
        <w:tc>
          <w:tcPr>
            <w:tcW w:w="569" w:type="dxa"/>
          </w:tcPr>
          <w:p w:rsidR="008120D0" w:rsidRDefault="00BE397E">
            <w:pPr>
              <w:pStyle w:val="TableParagraph"/>
              <w:spacing w:before="72"/>
              <w:ind w:left="14"/>
              <w:rPr>
                <w:sz w:val="18"/>
              </w:rPr>
            </w:pPr>
            <w:r>
              <w:rPr>
                <w:w w:val="93"/>
                <w:sz w:val="18"/>
              </w:rPr>
              <w:t>5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8120D0" w:rsidRDefault="008120D0">
            <w:pPr>
              <w:rPr>
                <w:sz w:val="2"/>
                <w:szCs w:val="2"/>
              </w:rPr>
            </w:pPr>
          </w:p>
        </w:tc>
      </w:tr>
      <w:tr w:rsidR="008120D0">
        <w:trPr>
          <w:trHeight w:val="440"/>
        </w:trPr>
        <w:tc>
          <w:tcPr>
            <w:tcW w:w="13531" w:type="dxa"/>
            <w:gridSpan w:val="4"/>
          </w:tcPr>
          <w:p w:rsidR="008120D0" w:rsidRDefault="00BE397E">
            <w:pPr>
              <w:pStyle w:val="TableParagraph"/>
              <w:spacing w:before="82"/>
              <w:ind w:left="5426" w:right="5410"/>
              <w:rPr>
                <w:b/>
              </w:rPr>
            </w:pPr>
            <w:r>
              <w:rPr>
                <w:b/>
              </w:rPr>
              <w:t>Punteggio totale della prova</w:t>
            </w:r>
          </w:p>
        </w:tc>
        <w:tc>
          <w:tcPr>
            <w:tcW w:w="994" w:type="dxa"/>
          </w:tcPr>
          <w:p w:rsidR="008120D0" w:rsidRDefault="008120D0">
            <w:pPr>
              <w:pStyle w:val="TableParagraph"/>
              <w:ind w:left="0"/>
              <w:jc w:val="left"/>
              <w:rPr>
                <w:sz w:val="18"/>
              </w:rPr>
            </w:pPr>
          </w:p>
        </w:tc>
      </w:tr>
    </w:tbl>
    <w:p w:rsidR="00BE397E" w:rsidRDefault="00BE397E"/>
    <w:sectPr w:rsidR="00BE397E" w:rsidSect="008120D0">
      <w:type w:val="continuous"/>
      <w:pgSz w:w="16840" w:h="11910" w:orient="landscape"/>
      <w:pgMar w:top="1040" w:right="106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120D0"/>
    <w:rsid w:val="0072297F"/>
    <w:rsid w:val="008120D0"/>
    <w:rsid w:val="00BE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120D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20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120D0"/>
    <w:pPr>
      <w:spacing w:before="59"/>
      <w:ind w:left="699" w:right="478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8120D0"/>
    <w:pPr>
      <w:spacing w:before="69"/>
      <w:ind w:left="69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120D0"/>
  </w:style>
  <w:style w:type="paragraph" w:customStyle="1" w:styleId="TableParagraph">
    <w:name w:val="Table Paragraph"/>
    <w:basedOn w:val="Normale"/>
    <w:uiPriority w:val="1"/>
    <w:qFormat/>
    <w:rsid w:val="008120D0"/>
    <w:pPr>
      <w:ind w:left="1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3430</Characters>
  <Application>Microsoft Office Word</Application>
  <DocSecurity>0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Utente</cp:lastModifiedBy>
  <cp:revision>2</cp:revision>
  <dcterms:created xsi:type="dcterms:W3CDTF">2020-05-18T18:57:00Z</dcterms:created>
  <dcterms:modified xsi:type="dcterms:W3CDTF">2020-05-18T18:57:00Z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2020-05-18T00:00:00Z</vt:filetime>
  </property>
</Properties>
</file>